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2663F" w14:textId="77777777" w:rsidR="00F8161B" w:rsidRPr="00515462" w:rsidRDefault="00F8161B" w:rsidP="00F8161B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2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Revisión de casos de uso blockchain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Identificación, evaluación y priorización estratégica de casos reales y potenciales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22495F66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73DD7DBB" w14:textId="77777777" w:rsidR="00F8161B" w:rsidRPr="000C4DA8" w:rsidRDefault="00F8161B" w:rsidP="00F8161B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132D592F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D84F49">
        <w:rPr>
          <w:rFonts w:eastAsiaTheme="minorEastAsia"/>
          <w:lang w:eastAsia="es-ES"/>
        </w:rPr>
        <w:t>Una transformación empresarial basada en blockchain no comienza con la tecnología, sino con una comprensión profunda del problema de negocio que se busca resolver. En este sentido, la correcta identificación y análisis de casos de uso específicos es una de las fases más críticas del proceso de adopción. Esta plantilla ha sido diseñada para ayudar a las organizaciones a identificar, analizar y priorizar casos de uso viables y sostenibles de blockchain en su entorno, alineados con los objetivos estratégicos y con un enfoque realista sobre impacto y viabilidad (</w:t>
      </w:r>
      <w:proofErr w:type="spellStart"/>
      <w:r w:rsidRPr="00D84F49">
        <w:rPr>
          <w:rFonts w:eastAsiaTheme="minorEastAsia"/>
          <w:lang w:eastAsia="es-ES"/>
        </w:rPr>
        <w:t>Wüst</w:t>
      </w:r>
      <w:proofErr w:type="spellEnd"/>
      <w:r w:rsidRPr="00D84F49">
        <w:rPr>
          <w:rFonts w:eastAsiaTheme="minorEastAsia"/>
          <w:lang w:eastAsia="es-ES"/>
        </w:rPr>
        <w:t xml:space="preserve"> &amp; </w:t>
      </w:r>
      <w:proofErr w:type="spellStart"/>
      <w:r w:rsidRPr="00D84F49">
        <w:rPr>
          <w:rFonts w:eastAsiaTheme="minorEastAsia"/>
          <w:lang w:eastAsia="es-ES"/>
        </w:rPr>
        <w:t>Gervais</w:t>
      </w:r>
      <w:proofErr w:type="spellEnd"/>
      <w:r w:rsidRPr="00D84F49">
        <w:rPr>
          <w:rFonts w:eastAsiaTheme="minorEastAsia"/>
          <w:lang w:eastAsia="es-ES"/>
        </w:rPr>
        <w:t>, 2018).</w:t>
      </w:r>
    </w:p>
    <w:p w14:paraId="4DC32947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53137464" w14:textId="77777777" w:rsidR="00F8161B" w:rsidRPr="00D84F49" w:rsidRDefault="00F8161B" w:rsidP="00F8161B">
      <w:pPr>
        <w:jc w:val="both"/>
        <w:rPr>
          <w:rFonts w:eastAsiaTheme="minorEastAsia"/>
          <w:b/>
          <w:bCs/>
          <w:lang w:eastAsia="es-ES"/>
        </w:rPr>
      </w:pPr>
      <w:r w:rsidRPr="00D84F49">
        <w:rPr>
          <w:rFonts w:eastAsiaTheme="minorEastAsia"/>
          <w:b/>
          <w:bCs/>
          <w:lang w:eastAsia="es-ES"/>
        </w:rPr>
        <w:t>Objetivos de la plantilla</w:t>
      </w:r>
    </w:p>
    <w:p w14:paraId="2C64F3E0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 la plantilla se trabajan los siguientes objetivos:</w:t>
      </w:r>
    </w:p>
    <w:p w14:paraId="37ECA028" w14:textId="77777777" w:rsidR="00F8161B" w:rsidRPr="000048AE" w:rsidRDefault="00F8161B" w:rsidP="00F8161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048AE">
        <w:rPr>
          <w:rFonts w:eastAsiaTheme="minorEastAsia"/>
          <w:lang w:eastAsia="es-ES"/>
        </w:rPr>
        <w:t>Identificar áreas de la empresa donde blockchain podría generar valor.</w:t>
      </w:r>
    </w:p>
    <w:p w14:paraId="0BC8F8D3" w14:textId="77777777" w:rsidR="00F8161B" w:rsidRPr="000048AE" w:rsidRDefault="00F8161B" w:rsidP="00F8161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048AE">
        <w:rPr>
          <w:rFonts w:eastAsiaTheme="minorEastAsia"/>
          <w:lang w:eastAsia="es-ES"/>
        </w:rPr>
        <w:t>Evaluar el encaje entre el caso de uso y las características de la tecnología blockchain.</w:t>
      </w:r>
    </w:p>
    <w:p w14:paraId="37FE6569" w14:textId="77777777" w:rsidR="00F8161B" w:rsidRPr="000048AE" w:rsidRDefault="00F8161B" w:rsidP="00F8161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048AE">
        <w:rPr>
          <w:rFonts w:eastAsiaTheme="minorEastAsia"/>
          <w:lang w:eastAsia="es-ES"/>
        </w:rPr>
        <w:t>Estimar impacto potencial, complejidad de implementación y madurez de adopción.</w:t>
      </w:r>
    </w:p>
    <w:p w14:paraId="35852DCF" w14:textId="77777777" w:rsidR="00F8161B" w:rsidRPr="000048AE" w:rsidRDefault="00F8161B" w:rsidP="00F8161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048AE">
        <w:rPr>
          <w:rFonts w:eastAsiaTheme="minorEastAsia"/>
          <w:lang w:eastAsia="es-ES"/>
        </w:rPr>
        <w:t>Priorizar los casos más prometedores para proyectos piloto o despliegue escalado.</w:t>
      </w:r>
    </w:p>
    <w:p w14:paraId="513B2EAC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667A5978" w14:textId="77777777" w:rsidR="00F8161B" w:rsidRPr="00C25516" w:rsidRDefault="00F8161B" w:rsidP="00F8161B">
      <w:pPr>
        <w:jc w:val="both"/>
        <w:rPr>
          <w:rFonts w:eastAsiaTheme="minorEastAsia"/>
          <w:b/>
          <w:bCs/>
          <w:lang w:eastAsia="es-ES"/>
        </w:rPr>
      </w:pPr>
      <w:r w:rsidRPr="00C25516">
        <w:rPr>
          <w:rFonts w:eastAsiaTheme="minorEastAsia"/>
          <w:b/>
          <w:bCs/>
          <w:lang w:eastAsia="es-ES"/>
        </w:rPr>
        <w:t>Estructura de la plantilla</w:t>
      </w:r>
    </w:p>
    <w:p w14:paraId="7EC73A64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C25516">
        <w:rPr>
          <w:rFonts w:eastAsiaTheme="minorEastAsia"/>
          <w:lang w:eastAsia="es-ES"/>
        </w:rPr>
        <w:t>La plantilla está dividida en cuatro secciones, cada una con indicadores y preguntas orientadoras que permiten documentar y calificar cada caso de uso con un enfoque estructurado.</w:t>
      </w:r>
    </w:p>
    <w:p w14:paraId="3C17FA73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7EEFEBCF" w14:textId="77777777" w:rsidR="00F8161B" w:rsidRPr="00C25516" w:rsidRDefault="00F8161B" w:rsidP="00F8161B">
      <w:pPr>
        <w:jc w:val="both"/>
        <w:rPr>
          <w:rFonts w:eastAsiaTheme="minorEastAsia"/>
          <w:i/>
          <w:iCs/>
          <w:lang w:eastAsia="es-ES"/>
        </w:rPr>
      </w:pPr>
      <w:r w:rsidRPr="00C25516">
        <w:rPr>
          <w:rFonts w:eastAsiaTheme="minorEastAsia"/>
          <w:i/>
          <w:iCs/>
          <w:lang w:eastAsia="es-ES"/>
        </w:rPr>
        <w:t>SECCIÓN A: Descripción del caso de uso</w:t>
      </w:r>
    </w:p>
    <w:p w14:paraId="553662D4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C25516">
        <w:rPr>
          <w:rFonts w:eastAsiaTheme="minorEastAsia"/>
          <w:lang w:eastAsia="es-ES"/>
        </w:rPr>
        <w:t>Esta sección busca caracterizar el problema, proceso o necesidad concreta sobre la cual se propone aplicar blockchain.</w:t>
      </w:r>
    </w:p>
    <w:p w14:paraId="227A37CF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F8161B" w:rsidRPr="00C25516" w14:paraId="71500D09" w14:textId="77777777" w:rsidTr="00DC0209">
        <w:tc>
          <w:tcPr>
            <w:tcW w:w="3114" w:type="dxa"/>
            <w:vAlign w:val="center"/>
          </w:tcPr>
          <w:p w14:paraId="45BBBD0A" w14:textId="77777777" w:rsidR="00F8161B" w:rsidRPr="00C2551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Indicador</w:t>
            </w:r>
          </w:p>
        </w:tc>
        <w:tc>
          <w:tcPr>
            <w:tcW w:w="5380" w:type="dxa"/>
            <w:vAlign w:val="center"/>
          </w:tcPr>
          <w:p w14:paraId="4E50155A" w14:textId="77777777" w:rsidR="00F8161B" w:rsidRPr="00C2551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 / Análisis</w:t>
            </w:r>
          </w:p>
        </w:tc>
      </w:tr>
      <w:tr w:rsidR="00F8161B" w:rsidRPr="00C25516" w14:paraId="2A9BE358" w14:textId="77777777" w:rsidTr="00DC0209">
        <w:tc>
          <w:tcPr>
            <w:tcW w:w="3114" w:type="dxa"/>
            <w:vAlign w:val="center"/>
          </w:tcPr>
          <w:p w14:paraId="27110F54" w14:textId="77777777" w:rsidR="00F8161B" w:rsidRPr="00C2551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Nombre del caso de uso</w:t>
            </w:r>
          </w:p>
        </w:tc>
        <w:tc>
          <w:tcPr>
            <w:tcW w:w="5380" w:type="dxa"/>
            <w:vAlign w:val="center"/>
          </w:tcPr>
          <w:p w14:paraId="5485C322" w14:textId="77777777" w:rsidR="00F8161B" w:rsidRPr="00C2551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 forma resumida identificar el proceso o necesidad</w:t>
            </w:r>
          </w:p>
        </w:tc>
      </w:tr>
      <w:tr w:rsidR="00F8161B" w:rsidRPr="00C25516" w14:paraId="7ED2C852" w14:textId="77777777" w:rsidTr="00DC0209">
        <w:tc>
          <w:tcPr>
            <w:tcW w:w="3114" w:type="dxa"/>
            <w:vAlign w:val="center"/>
          </w:tcPr>
          <w:p w14:paraId="396D6157" w14:textId="77777777" w:rsidR="00F8161B" w:rsidRPr="00C2551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Área de negocio implicada</w:t>
            </w:r>
          </w:p>
        </w:tc>
        <w:tc>
          <w:tcPr>
            <w:tcW w:w="5380" w:type="dxa"/>
            <w:vAlign w:val="center"/>
          </w:tcPr>
          <w:p w14:paraId="343C0D30" w14:textId="77777777" w:rsidR="00F8161B" w:rsidRPr="00C2551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Finanzas, logística, RR.HH., operaciones, etc.</w:t>
            </w:r>
          </w:p>
        </w:tc>
      </w:tr>
      <w:tr w:rsidR="00F8161B" w:rsidRPr="00C25516" w14:paraId="46407403" w14:textId="77777777" w:rsidTr="00DC0209">
        <w:tc>
          <w:tcPr>
            <w:tcW w:w="3114" w:type="dxa"/>
            <w:vAlign w:val="center"/>
          </w:tcPr>
          <w:p w14:paraId="775BE27A" w14:textId="77777777" w:rsidR="00F8161B" w:rsidRPr="00C2551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Problema o ineficiencia actual</w:t>
            </w:r>
          </w:p>
        </w:tc>
        <w:tc>
          <w:tcPr>
            <w:tcW w:w="5380" w:type="dxa"/>
            <w:vAlign w:val="center"/>
          </w:tcPr>
          <w:p w14:paraId="1B0C69B8" w14:textId="77777777" w:rsidR="00F8161B" w:rsidRPr="00C2551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no funciona hoy? ¿Qué se quiere optimizar?</w:t>
            </w:r>
          </w:p>
        </w:tc>
      </w:tr>
      <w:tr w:rsidR="00F8161B" w:rsidRPr="00C25516" w14:paraId="5471BBB9" w14:textId="77777777" w:rsidTr="00DC0209">
        <w:tc>
          <w:tcPr>
            <w:tcW w:w="3114" w:type="dxa"/>
            <w:vAlign w:val="center"/>
          </w:tcPr>
          <w:p w14:paraId="31AF6B76" w14:textId="77777777" w:rsidR="00F8161B" w:rsidRPr="00C2551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Propuesta de valor con blockchain</w:t>
            </w:r>
          </w:p>
        </w:tc>
        <w:tc>
          <w:tcPr>
            <w:tcW w:w="5380" w:type="dxa"/>
            <w:vAlign w:val="center"/>
          </w:tcPr>
          <w:p w14:paraId="31BA5593" w14:textId="77777777" w:rsidR="00F8161B" w:rsidRPr="00C2551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se lograría implantar? (trazabilidad, automatización, confianza, etc.)</w:t>
            </w:r>
          </w:p>
        </w:tc>
      </w:tr>
      <w:tr w:rsidR="00F8161B" w:rsidRPr="00C25516" w14:paraId="3E51352C" w14:textId="77777777" w:rsidTr="00DC0209">
        <w:tc>
          <w:tcPr>
            <w:tcW w:w="3114" w:type="dxa"/>
            <w:vAlign w:val="center"/>
          </w:tcPr>
          <w:p w14:paraId="2A3B8173" w14:textId="77777777" w:rsidR="00F8161B" w:rsidRPr="00C2551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Participantes involucrados</w:t>
            </w:r>
          </w:p>
        </w:tc>
        <w:tc>
          <w:tcPr>
            <w:tcW w:w="5380" w:type="dxa"/>
            <w:vAlign w:val="center"/>
          </w:tcPr>
          <w:p w14:paraId="47E1D911" w14:textId="77777777" w:rsidR="00F8161B" w:rsidRPr="00C2551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Internos y externos (proveedores, clientes, administración, socios, etc.)</w:t>
            </w:r>
          </w:p>
        </w:tc>
      </w:tr>
      <w:tr w:rsidR="00F8161B" w:rsidRPr="00C25516" w14:paraId="56EA12DD" w14:textId="77777777" w:rsidTr="00DC0209">
        <w:tc>
          <w:tcPr>
            <w:tcW w:w="3114" w:type="dxa"/>
            <w:vAlign w:val="center"/>
          </w:tcPr>
          <w:p w14:paraId="4C71A436" w14:textId="77777777" w:rsidR="00F8161B" w:rsidRPr="00C2551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actual de digitalización</w:t>
            </w:r>
          </w:p>
        </w:tc>
        <w:tc>
          <w:tcPr>
            <w:tcW w:w="5380" w:type="dxa"/>
            <w:vAlign w:val="center"/>
          </w:tcPr>
          <w:p w14:paraId="3EB5938B" w14:textId="77777777" w:rsidR="00F8161B" w:rsidRPr="00C2551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¿Existe una base digital previa o sería necesaria una transformación previa?</w:t>
            </w:r>
          </w:p>
        </w:tc>
      </w:tr>
    </w:tbl>
    <w:p w14:paraId="6CE27A2E" w14:textId="77777777" w:rsidR="00F8161B" w:rsidRDefault="00F8161B" w:rsidP="00F8161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17: Descripción del caso de uso.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Wüst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, K., &amp;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Gervais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>, A. (2018).</w:t>
      </w:r>
    </w:p>
    <w:p w14:paraId="47762501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1A767F97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4F0990BB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3D023DB6" w14:textId="77777777" w:rsidR="00F8161B" w:rsidRPr="00C25516" w:rsidRDefault="00F8161B" w:rsidP="00F8161B">
      <w:pPr>
        <w:jc w:val="both"/>
        <w:rPr>
          <w:rFonts w:eastAsiaTheme="minorEastAsia"/>
          <w:i/>
          <w:iCs/>
          <w:lang w:eastAsia="es-ES"/>
        </w:rPr>
      </w:pPr>
      <w:r w:rsidRPr="00C25516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B</w:t>
      </w:r>
      <w:r w:rsidRPr="00C25516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Evaluación del encaje tecnológico con blockchain</w:t>
      </w:r>
    </w:p>
    <w:p w14:paraId="1A06388D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</w:t>
      </w:r>
      <w:r w:rsidRPr="003973E6">
        <w:rPr>
          <w:rFonts w:eastAsiaTheme="minorEastAsia"/>
          <w:lang w:eastAsia="es-ES"/>
        </w:rPr>
        <w:t>e analiza si blockchain es realmente la mejor solución tecnológica para el caso identificado.</w:t>
      </w:r>
    </w:p>
    <w:p w14:paraId="7BB42CFF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4A2F202E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0CF273FC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4C5833E8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8161B" w:rsidRPr="003973E6" w14:paraId="4A41C8C8" w14:textId="77777777" w:rsidTr="00DC0209">
        <w:tc>
          <w:tcPr>
            <w:tcW w:w="2831" w:type="dxa"/>
            <w:vAlign w:val="center"/>
          </w:tcPr>
          <w:p w14:paraId="6ECC2F4F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lastRenderedPageBreak/>
              <w:t>Criterio de evaluación</w:t>
            </w:r>
          </w:p>
        </w:tc>
        <w:tc>
          <w:tcPr>
            <w:tcW w:w="2831" w:type="dxa"/>
            <w:vAlign w:val="center"/>
          </w:tcPr>
          <w:p w14:paraId="2A3FD659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Escala (1 – 5)</w:t>
            </w:r>
          </w:p>
        </w:tc>
        <w:tc>
          <w:tcPr>
            <w:tcW w:w="2832" w:type="dxa"/>
            <w:vAlign w:val="center"/>
          </w:tcPr>
          <w:p w14:paraId="6E0ED657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Preguntas guía</w:t>
            </w:r>
          </w:p>
        </w:tc>
      </w:tr>
      <w:tr w:rsidR="00F8161B" w:rsidRPr="003973E6" w14:paraId="56F7A791" w14:textId="77777777" w:rsidTr="00DC0209">
        <w:tc>
          <w:tcPr>
            <w:tcW w:w="2831" w:type="dxa"/>
            <w:vAlign w:val="center"/>
          </w:tcPr>
          <w:p w14:paraId="58C08030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Multiplicidad de partes y desconfianza mutua</w:t>
            </w:r>
          </w:p>
        </w:tc>
        <w:tc>
          <w:tcPr>
            <w:tcW w:w="2831" w:type="dxa"/>
            <w:vAlign w:val="center"/>
          </w:tcPr>
          <w:p w14:paraId="6C02A1FA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3C0CED48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¿El proceso involucra participantes que no confían entre sí?</w:t>
            </w:r>
          </w:p>
        </w:tc>
      </w:tr>
      <w:tr w:rsidR="00F8161B" w:rsidRPr="003973E6" w14:paraId="6D527838" w14:textId="77777777" w:rsidTr="00DC0209">
        <w:tc>
          <w:tcPr>
            <w:tcW w:w="2831" w:type="dxa"/>
            <w:vAlign w:val="center"/>
          </w:tcPr>
          <w:p w14:paraId="75E4394B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Necesidad de registros inmutables</w:t>
            </w:r>
          </w:p>
        </w:tc>
        <w:tc>
          <w:tcPr>
            <w:tcW w:w="2831" w:type="dxa"/>
            <w:vAlign w:val="center"/>
          </w:tcPr>
          <w:p w14:paraId="4F76E75C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1F968AAB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 vital garantizar que los datos no se alteren con el tiempo?</w:t>
            </w:r>
          </w:p>
        </w:tc>
      </w:tr>
      <w:tr w:rsidR="00F8161B" w:rsidRPr="003973E6" w14:paraId="3BDABB6A" w14:textId="77777777" w:rsidTr="00DC0209">
        <w:tc>
          <w:tcPr>
            <w:tcW w:w="2831" w:type="dxa"/>
            <w:vAlign w:val="center"/>
          </w:tcPr>
          <w:p w14:paraId="0FDADBBB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Requisitos de transparencia y trazabilidad</w:t>
            </w:r>
          </w:p>
        </w:tc>
        <w:tc>
          <w:tcPr>
            <w:tcW w:w="2831" w:type="dxa"/>
            <w:vAlign w:val="center"/>
          </w:tcPr>
          <w:p w14:paraId="5A2C5140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7135E68E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 importante poder auditar la historia completa de un producto o transacción?</w:t>
            </w:r>
          </w:p>
        </w:tc>
      </w:tr>
      <w:tr w:rsidR="00F8161B" w:rsidRPr="003973E6" w14:paraId="7E654CED" w14:textId="77777777" w:rsidTr="00DC0209">
        <w:tc>
          <w:tcPr>
            <w:tcW w:w="2831" w:type="dxa"/>
            <w:vAlign w:val="center"/>
          </w:tcPr>
          <w:p w14:paraId="5154A5A7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Necesidad de automatización confiable (smart contracts)</w:t>
            </w:r>
          </w:p>
        </w:tc>
        <w:tc>
          <w:tcPr>
            <w:tcW w:w="2831" w:type="dxa"/>
            <w:vAlign w:val="center"/>
          </w:tcPr>
          <w:p w14:paraId="3763D0D5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0B4F5B11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¿Puede beneficiarse de reglas automáticas, verificables y sin intermediarios?</w:t>
            </w:r>
          </w:p>
        </w:tc>
      </w:tr>
      <w:tr w:rsidR="00F8161B" w:rsidRPr="003973E6" w14:paraId="39E1C671" w14:textId="77777777" w:rsidTr="00DC0209">
        <w:tc>
          <w:tcPr>
            <w:tcW w:w="2831" w:type="dxa"/>
            <w:vAlign w:val="center"/>
          </w:tcPr>
          <w:p w14:paraId="0F451151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Falta de eficiencia o costes altos por intermediarios</w:t>
            </w:r>
          </w:p>
        </w:tc>
        <w:tc>
          <w:tcPr>
            <w:tcW w:w="2831" w:type="dxa"/>
            <w:vAlign w:val="center"/>
          </w:tcPr>
          <w:p w14:paraId="67B61595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4F66E811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¿Blockchain puede eliminar terceros innecesarios o disminuir costes operativos?</w:t>
            </w:r>
          </w:p>
        </w:tc>
      </w:tr>
    </w:tbl>
    <w:p w14:paraId="2586B6F7" w14:textId="77777777" w:rsidR="00F8161B" w:rsidRDefault="00F8161B" w:rsidP="00F8161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18: Evaluación del encaje tecnológico con blockchain.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Wüst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, K., &amp;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Gervais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>, A. (2018).</w:t>
      </w:r>
    </w:p>
    <w:p w14:paraId="3C25FA5F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1802E3C8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Interpretación del resultado:</w:t>
      </w:r>
    </w:p>
    <w:p w14:paraId="41E93E42" w14:textId="77777777" w:rsidR="00F8161B" w:rsidRPr="005E12E6" w:rsidRDefault="00F8161B" w:rsidP="00F8161B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5E12E6">
        <w:rPr>
          <w:rFonts w:eastAsiaTheme="minorEastAsia"/>
          <w:lang w:eastAsia="es-ES"/>
        </w:rPr>
        <w:t>20 - 25 puntos: alto encaje con blockchain.</w:t>
      </w:r>
    </w:p>
    <w:p w14:paraId="2C063235" w14:textId="77777777" w:rsidR="00F8161B" w:rsidRPr="005E12E6" w:rsidRDefault="00F8161B" w:rsidP="00F8161B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5E12E6">
        <w:rPr>
          <w:rFonts w:eastAsiaTheme="minorEastAsia"/>
          <w:lang w:eastAsia="es-ES"/>
        </w:rPr>
        <w:t>15 - 19 puntos: posible encaje, se necesita refinamiento.</w:t>
      </w:r>
    </w:p>
    <w:p w14:paraId="04C0F8FE" w14:textId="77777777" w:rsidR="00F8161B" w:rsidRPr="005E12E6" w:rsidRDefault="00F8161B" w:rsidP="00F8161B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5E12E6">
        <w:rPr>
          <w:rFonts w:eastAsiaTheme="minorEastAsia"/>
          <w:lang w:eastAsia="es-ES"/>
        </w:rPr>
        <w:t>&lt; 15 puntos: la solución puede no justificar blockchain.</w:t>
      </w:r>
    </w:p>
    <w:p w14:paraId="7A1CE4AA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417D3708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7BB50FAF" w14:textId="77777777" w:rsidR="00F8161B" w:rsidRPr="00C25516" w:rsidRDefault="00F8161B" w:rsidP="00F8161B">
      <w:pPr>
        <w:jc w:val="both"/>
        <w:rPr>
          <w:rFonts w:eastAsiaTheme="minorEastAsia"/>
          <w:i/>
          <w:iCs/>
          <w:lang w:eastAsia="es-ES"/>
        </w:rPr>
      </w:pPr>
      <w:r w:rsidRPr="00C25516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C</w:t>
      </w:r>
      <w:r w:rsidRPr="00C25516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Evaluación de impacto y complejidad</w:t>
      </w:r>
    </w:p>
    <w:p w14:paraId="6C27AE59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933116">
        <w:rPr>
          <w:rFonts w:eastAsiaTheme="minorEastAsia"/>
          <w:lang w:eastAsia="es-ES"/>
        </w:rPr>
        <w:t>Eval</w:t>
      </w:r>
      <w:r>
        <w:rPr>
          <w:rFonts w:eastAsiaTheme="minorEastAsia"/>
          <w:lang w:eastAsia="es-ES"/>
        </w:rPr>
        <w:t>uar</w:t>
      </w:r>
      <w:r w:rsidRPr="00933116">
        <w:rPr>
          <w:rFonts w:eastAsiaTheme="minorEastAsia"/>
          <w:lang w:eastAsia="es-ES"/>
        </w:rPr>
        <w:t xml:space="preserve"> el potencial impacto organizacional del caso de uso y su complejidad técnica, legal y organizativa.</w:t>
      </w:r>
    </w:p>
    <w:p w14:paraId="49587D40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8161B" w:rsidRPr="003973E6" w14:paraId="0AEADA8D" w14:textId="77777777" w:rsidTr="00DC0209">
        <w:tc>
          <w:tcPr>
            <w:tcW w:w="2831" w:type="dxa"/>
            <w:vAlign w:val="center"/>
          </w:tcPr>
          <w:p w14:paraId="62C9CFE6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Criterio de evaluación</w:t>
            </w:r>
          </w:p>
        </w:tc>
        <w:tc>
          <w:tcPr>
            <w:tcW w:w="2831" w:type="dxa"/>
            <w:vAlign w:val="center"/>
          </w:tcPr>
          <w:p w14:paraId="7339879D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Impacto (1 – 5)</w:t>
            </w:r>
          </w:p>
        </w:tc>
        <w:tc>
          <w:tcPr>
            <w:tcW w:w="2832" w:type="dxa"/>
            <w:vAlign w:val="center"/>
          </w:tcPr>
          <w:p w14:paraId="011482CE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Complejidad de implantación</w:t>
            </w:r>
          </w:p>
        </w:tc>
      </w:tr>
      <w:tr w:rsidR="00F8161B" w:rsidRPr="003973E6" w14:paraId="3ED03267" w14:textId="77777777" w:rsidTr="00DC0209">
        <w:tc>
          <w:tcPr>
            <w:tcW w:w="2831" w:type="dxa"/>
            <w:vAlign w:val="center"/>
          </w:tcPr>
          <w:p w14:paraId="6ECF1229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Mejora en eficiencia o disminución de costes</w:t>
            </w:r>
          </w:p>
        </w:tc>
        <w:tc>
          <w:tcPr>
            <w:tcW w:w="2831" w:type="dxa"/>
            <w:vAlign w:val="center"/>
          </w:tcPr>
          <w:p w14:paraId="18F8AA6B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16AE7BCD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F8161B" w:rsidRPr="003973E6" w14:paraId="5D9966A7" w14:textId="77777777" w:rsidTr="00DC0209">
        <w:tc>
          <w:tcPr>
            <w:tcW w:w="2831" w:type="dxa"/>
            <w:vAlign w:val="center"/>
          </w:tcPr>
          <w:p w14:paraId="542A6578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Aumenta la confianza del ecosistema</w:t>
            </w:r>
          </w:p>
        </w:tc>
        <w:tc>
          <w:tcPr>
            <w:tcW w:w="2831" w:type="dxa"/>
            <w:vAlign w:val="center"/>
          </w:tcPr>
          <w:p w14:paraId="79839471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47E2A9D0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F8161B" w:rsidRPr="003973E6" w14:paraId="21598D57" w14:textId="77777777" w:rsidTr="00DC0209">
        <w:tc>
          <w:tcPr>
            <w:tcW w:w="2831" w:type="dxa"/>
            <w:vAlign w:val="center"/>
          </w:tcPr>
          <w:p w14:paraId="6104098E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disrupción en el modelo actual</w:t>
            </w:r>
          </w:p>
        </w:tc>
        <w:tc>
          <w:tcPr>
            <w:tcW w:w="2831" w:type="dxa"/>
            <w:vAlign w:val="center"/>
          </w:tcPr>
          <w:p w14:paraId="72EF7435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674A1D79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F8161B" w:rsidRPr="003973E6" w14:paraId="71F7B54F" w14:textId="77777777" w:rsidTr="00DC0209">
        <w:tc>
          <w:tcPr>
            <w:tcW w:w="2831" w:type="dxa"/>
            <w:vAlign w:val="center"/>
          </w:tcPr>
          <w:p w14:paraId="0390090B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Dependencia de la normativa</w:t>
            </w:r>
          </w:p>
        </w:tc>
        <w:tc>
          <w:tcPr>
            <w:tcW w:w="2831" w:type="dxa"/>
            <w:vAlign w:val="center"/>
          </w:tcPr>
          <w:p w14:paraId="47B79495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68CBEAB3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F8161B" w:rsidRPr="003973E6" w14:paraId="27ADBDAD" w14:textId="77777777" w:rsidTr="00DC0209">
        <w:tc>
          <w:tcPr>
            <w:tcW w:w="2831" w:type="dxa"/>
            <w:vAlign w:val="center"/>
          </w:tcPr>
          <w:p w14:paraId="46F38133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Requerimiento de integración con sistemas</w:t>
            </w:r>
          </w:p>
        </w:tc>
        <w:tc>
          <w:tcPr>
            <w:tcW w:w="2831" w:type="dxa"/>
            <w:vAlign w:val="center"/>
          </w:tcPr>
          <w:p w14:paraId="06B051C8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  <w:tc>
          <w:tcPr>
            <w:tcW w:w="2832" w:type="dxa"/>
            <w:vAlign w:val="center"/>
          </w:tcPr>
          <w:p w14:paraId="353E0760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4F525A7B" w14:textId="77777777" w:rsidR="00F8161B" w:rsidRDefault="00F8161B" w:rsidP="00F8161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19: Evaluación de impacto y complejidad.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Wüst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, K., &amp;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Gervais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>, A. (2018).</w:t>
      </w:r>
    </w:p>
    <w:p w14:paraId="25660936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567C1F01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Sugerencia:</w:t>
      </w:r>
    </w:p>
    <w:p w14:paraId="72BE40A7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C85CC7">
        <w:rPr>
          <w:rFonts w:eastAsiaTheme="minorEastAsia"/>
          <w:lang w:eastAsia="es-ES"/>
        </w:rPr>
        <w:t>Calcular "prioridad estratégica" usando la fórmula:</w:t>
      </w:r>
      <w:r>
        <w:rPr>
          <w:rFonts w:eastAsiaTheme="minorEastAsia"/>
          <w:lang w:eastAsia="es-ES"/>
        </w:rPr>
        <w:t xml:space="preserve"> </w:t>
      </w:r>
      <w:r w:rsidRPr="00C85CC7">
        <w:rPr>
          <w:rFonts w:eastAsiaTheme="minorEastAsia"/>
          <w:lang w:eastAsia="es-ES"/>
        </w:rPr>
        <w:t>Impacto total − Complejidad total = Índice de viabilidad</w:t>
      </w:r>
      <w:r>
        <w:rPr>
          <w:rFonts w:eastAsiaTheme="minorEastAsia"/>
          <w:lang w:eastAsia="es-ES"/>
        </w:rPr>
        <w:t xml:space="preserve">. </w:t>
      </w:r>
      <w:r w:rsidRPr="00C85CC7">
        <w:rPr>
          <w:rFonts w:eastAsiaTheme="minorEastAsia"/>
          <w:lang w:eastAsia="es-ES"/>
        </w:rPr>
        <w:t>Priorizar aquellos casos que ofrecen alto impacto y baja complejidad.</w:t>
      </w:r>
    </w:p>
    <w:p w14:paraId="07C337F7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6746A46B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1C1E84B9" w14:textId="77777777" w:rsidR="00F8161B" w:rsidRPr="00C25516" w:rsidRDefault="00F8161B" w:rsidP="00F8161B">
      <w:pPr>
        <w:jc w:val="both"/>
        <w:rPr>
          <w:rFonts w:eastAsiaTheme="minorEastAsia"/>
          <w:i/>
          <w:iCs/>
          <w:lang w:eastAsia="es-ES"/>
        </w:rPr>
      </w:pPr>
      <w:r w:rsidRPr="00C25516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D</w:t>
      </w:r>
      <w:r w:rsidRPr="00C25516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Estado de madurez y próximos pasos</w:t>
      </w:r>
    </w:p>
    <w:p w14:paraId="59D67D9B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4B4DB3">
        <w:rPr>
          <w:rFonts w:eastAsiaTheme="minorEastAsia"/>
          <w:lang w:eastAsia="es-ES"/>
        </w:rPr>
        <w:t>Permite clasificar el caso en términos de preparación interna, entorno legal, y preparación tecnológica.</w:t>
      </w:r>
    </w:p>
    <w:p w14:paraId="149D7954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78445312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8161B" w:rsidRPr="003973E6" w14:paraId="648844D3" w14:textId="77777777" w:rsidTr="00DC0209">
        <w:tc>
          <w:tcPr>
            <w:tcW w:w="2831" w:type="dxa"/>
            <w:vAlign w:val="center"/>
          </w:tcPr>
          <w:p w14:paraId="7033C549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lastRenderedPageBreak/>
              <w:t>Indicador</w:t>
            </w:r>
          </w:p>
        </w:tc>
        <w:tc>
          <w:tcPr>
            <w:tcW w:w="2831" w:type="dxa"/>
            <w:vAlign w:val="center"/>
          </w:tcPr>
          <w:p w14:paraId="0D246301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Nivel actual</w:t>
            </w:r>
          </w:p>
        </w:tc>
        <w:tc>
          <w:tcPr>
            <w:tcW w:w="2832" w:type="dxa"/>
            <w:vAlign w:val="center"/>
          </w:tcPr>
          <w:p w14:paraId="47F6DCFA" w14:textId="77777777" w:rsidR="00F8161B" w:rsidRPr="003973E6" w:rsidRDefault="00F8161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Observaciones</w:t>
            </w:r>
          </w:p>
        </w:tc>
      </w:tr>
      <w:tr w:rsidR="00F8161B" w:rsidRPr="003973E6" w14:paraId="181186E5" w14:textId="77777777" w:rsidTr="00DC0209">
        <w:tc>
          <w:tcPr>
            <w:tcW w:w="2831" w:type="dxa"/>
            <w:vAlign w:val="center"/>
          </w:tcPr>
          <w:p w14:paraId="5AC542F8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Existencia de casos similares en el mercado</w:t>
            </w:r>
          </w:p>
        </w:tc>
        <w:tc>
          <w:tcPr>
            <w:tcW w:w="2831" w:type="dxa"/>
            <w:vAlign w:val="center"/>
          </w:tcPr>
          <w:p w14:paraId="5CA708A5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Bajo / Medio / Alto</w:t>
            </w:r>
          </w:p>
        </w:tc>
        <w:tc>
          <w:tcPr>
            <w:tcW w:w="2832" w:type="dxa"/>
            <w:vAlign w:val="center"/>
          </w:tcPr>
          <w:p w14:paraId="0F039901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Referencias de otras empresas o sectores</w:t>
            </w:r>
          </w:p>
        </w:tc>
      </w:tr>
      <w:tr w:rsidR="00F8161B" w:rsidRPr="003973E6" w14:paraId="08365AAD" w14:textId="77777777" w:rsidTr="00DC0209">
        <w:tc>
          <w:tcPr>
            <w:tcW w:w="2831" w:type="dxa"/>
            <w:vAlign w:val="center"/>
          </w:tcPr>
          <w:p w14:paraId="7370B643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Disponibilidad de recursos técnicos internos</w:t>
            </w:r>
          </w:p>
        </w:tc>
        <w:tc>
          <w:tcPr>
            <w:tcW w:w="2831" w:type="dxa"/>
            <w:vAlign w:val="center"/>
          </w:tcPr>
          <w:p w14:paraId="460D1596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Bajo / Medio / Alto</w:t>
            </w:r>
          </w:p>
        </w:tc>
        <w:tc>
          <w:tcPr>
            <w:tcW w:w="2832" w:type="dxa"/>
            <w:vAlign w:val="center"/>
          </w:tcPr>
          <w:p w14:paraId="7F01EEE2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Talento, infraestructura o partners</w:t>
            </w:r>
          </w:p>
        </w:tc>
      </w:tr>
      <w:tr w:rsidR="00F8161B" w:rsidRPr="003973E6" w14:paraId="64C206D1" w14:textId="77777777" w:rsidTr="00DC0209">
        <w:tc>
          <w:tcPr>
            <w:tcW w:w="2831" w:type="dxa"/>
            <w:vAlign w:val="center"/>
          </w:tcPr>
          <w:p w14:paraId="28415B04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Claridad de la normativa legal y fiscal</w:t>
            </w:r>
          </w:p>
        </w:tc>
        <w:tc>
          <w:tcPr>
            <w:tcW w:w="2831" w:type="dxa"/>
            <w:vAlign w:val="center"/>
          </w:tcPr>
          <w:p w14:paraId="6E4D7CD2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Bajo / Medio / Alto</w:t>
            </w:r>
          </w:p>
        </w:tc>
        <w:tc>
          <w:tcPr>
            <w:tcW w:w="2832" w:type="dxa"/>
            <w:vAlign w:val="center"/>
          </w:tcPr>
          <w:p w14:paraId="2DBA725C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Normativa nacional, tributación, etc.</w:t>
            </w:r>
          </w:p>
        </w:tc>
      </w:tr>
      <w:tr w:rsidR="00F8161B" w:rsidRPr="003973E6" w14:paraId="4DEED4AA" w14:textId="77777777" w:rsidTr="00DC0209">
        <w:tc>
          <w:tcPr>
            <w:tcW w:w="2831" w:type="dxa"/>
            <w:vAlign w:val="center"/>
          </w:tcPr>
          <w:p w14:paraId="028C6023" w14:textId="77777777" w:rsidR="00F8161B" w:rsidRPr="003973E6" w:rsidRDefault="00F8161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Interés de los stakeholders claves</w:t>
            </w:r>
          </w:p>
        </w:tc>
        <w:tc>
          <w:tcPr>
            <w:tcW w:w="2831" w:type="dxa"/>
            <w:vAlign w:val="center"/>
          </w:tcPr>
          <w:p w14:paraId="5E50DAE1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Bajo / Medio / Alto</w:t>
            </w:r>
          </w:p>
        </w:tc>
        <w:tc>
          <w:tcPr>
            <w:tcW w:w="2832" w:type="dxa"/>
            <w:vAlign w:val="center"/>
          </w:tcPr>
          <w:p w14:paraId="5EE9E479" w14:textId="77777777" w:rsidR="00F8161B" w:rsidRPr="003973E6" w:rsidRDefault="00F8161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Compromiso de la dirección, socios y clientes</w:t>
            </w:r>
          </w:p>
        </w:tc>
      </w:tr>
    </w:tbl>
    <w:p w14:paraId="5E616E60" w14:textId="77777777" w:rsidR="00F8161B" w:rsidRDefault="00F8161B" w:rsidP="00F8161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20: Estado de madurez y próximos pasos.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Wüst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, K., &amp; </w:t>
      </w:r>
      <w:proofErr w:type="spellStart"/>
      <w:r w:rsidRPr="00FC0C57">
        <w:rPr>
          <w:rFonts w:eastAsiaTheme="minorEastAsia"/>
          <w:sz w:val="20"/>
          <w:szCs w:val="20"/>
          <w:lang w:eastAsia="es-ES"/>
        </w:rPr>
        <w:t>Gervais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>, A. (2018).</w:t>
      </w:r>
    </w:p>
    <w:p w14:paraId="5AD432F0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19B307C4" w14:textId="77777777" w:rsidR="00F8161B" w:rsidRPr="004B4DB3" w:rsidRDefault="00F8161B" w:rsidP="00F8161B">
      <w:pPr>
        <w:jc w:val="both"/>
        <w:rPr>
          <w:rFonts w:eastAsiaTheme="minorEastAsia"/>
          <w:b/>
          <w:bCs/>
          <w:lang w:eastAsia="es-ES"/>
        </w:rPr>
      </w:pPr>
      <w:r w:rsidRPr="004B4DB3">
        <w:rPr>
          <w:rFonts w:eastAsiaTheme="minorEastAsia"/>
          <w:b/>
          <w:bCs/>
          <w:lang w:eastAsia="es-ES"/>
        </w:rPr>
        <w:t>Resultado final</w:t>
      </w:r>
    </w:p>
    <w:p w14:paraId="043DB73C" w14:textId="77777777" w:rsidR="00F8161B" w:rsidRPr="004B4DB3" w:rsidRDefault="00F8161B" w:rsidP="00F8161B">
      <w:pPr>
        <w:jc w:val="both"/>
        <w:rPr>
          <w:rFonts w:eastAsiaTheme="minorEastAsia"/>
          <w:lang w:eastAsia="es-ES"/>
        </w:rPr>
      </w:pPr>
      <w:r w:rsidRPr="004B4DB3">
        <w:rPr>
          <w:rFonts w:eastAsiaTheme="minorEastAsia"/>
          <w:lang w:eastAsia="es-ES"/>
        </w:rPr>
        <w:t>Con los datos recogidos, se recomienda clasificar cada caso de uso en una matriz de priorización, con los siguientes cuadrantes:</w:t>
      </w:r>
    </w:p>
    <w:p w14:paraId="4EAB21C8" w14:textId="77777777" w:rsidR="00F8161B" w:rsidRPr="004B4DB3" w:rsidRDefault="00F8161B" w:rsidP="00F8161B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4B4DB3">
        <w:rPr>
          <w:rFonts w:eastAsiaTheme="minorEastAsia"/>
          <w:lang w:eastAsia="es-ES"/>
        </w:rPr>
        <w:t xml:space="preserve">Casos </w:t>
      </w:r>
      <w:r>
        <w:rPr>
          <w:rFonts w:eastAsiaTheme="minorEastAsia"/>
          <w:lang w:eastAsia="es-ES"/>
        </w:rPr>
        <w:t>e</w:t>
      </w:r>
      <w:r w:rsidRPr="004B4DB3">
        <w:rPr>
          <w:rFonts w:eastAsiaTheme="minorEastAsia"/>
          <w:lang w:eastAsia="es-ES"/>
        </w:rPr>
        <w:t>strella (alto impacto, baja complejidad): deben priorizarse para PoC.</w:t>
      </w:r>
    </w:p>
    <w:p w14:paraId="163BDD36" w14:textId="77777777" w:rsidR="00F8161B" w:rsidRPr="004B4DB3" w:rsidRDefault="00F8161B" w:rsidP="00F8161B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4B4DB3">
        <w:rPr>
          <w:rFonts w:eastAsiaTheme="minorEastAsia"/>
          <w:lang w:eastAsia="es-ES"/>
        </w:rPr>
        <w:t xml:space="preserve">Casos </w:t>
      </w:r>
      <w:r>
        <w:rPr>
          <w:rFonts w:eastAsiaTheme="minorEastAsia"/>
          <w:lang w:eastAsia="es-ES"/>
        </w:rPr>
        <w:t>p</w:t>
      </w:r>
      <w:r w:rsidRPr="004B4DB3">
        <w:rPr>
          <w:rFonts w:eastAsiaTheme="minorEastAsia"/>
          <w:lang w:eastAsia="es-ES"/>
        </w:rPr>
        <w:t>rometedores (alto impacto, alta complejidad): evaluar más a fondo.</w:t>
      </w:r>
    </w:p>
    <w:p w14:paraId="11A21525" w14:textId="77777777" w:rsidR="00F8161B" w:rsidRPr="004B4DB3" w:rsidRDefault="00F8161B" w:rsidP="00F8161B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4B4DB3">
        <w:rPr>
          <w:rFonts w:eastAsiaTheme="minorEastAsia"/>
          <w:lang w:eastAsia="es-ES"/>
        </w:rPr>
        <w:t xml:space="preserve">Casos de </w:t>
      </w:r>
      <w:r>
        <w:rPr>
          <w:rFonts w:eastAsiaTheme="minorEastAsia"/>
          <w:lang w:eastAsia="es-ES"/>
        </w:rPr>
        <w:t>a</w:t>
      </w:r>
      <w:r w:rsidRPr="004B4DB3">
        <w:rPr>
          <w:rFonts w:eastAsiaTheme="minorEastAsia"/>
          <w:lang w:eastAsia="es-ES"/>
        </w:rPr>
        <w:t>poyo (bajo impacto, baja complejidad): pueden ser secundarios.</w:t>
      </w:r>
    </w:p>
    <w:p w14:paraId="1211EC95" w14:textId="77777777" w:rsidR="00F8161B" w:rsidRPr="004B4DB3" w:rsidRDefault="00F8161B" w:rsidP="00F8161B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4B4DB3">
        <w:rPr>
          <w:rFonts w:eastAsiaTheme="minorEastAsia"/>
          <w:lang w:eastAsia="es-ES"/>
        </w:rPr>
        <w:t xml:space="preserve">Casos </w:t>
      </w:r>
      <w:r>
        <w:rPr>
          <w:rFonts w:eastAsiaTheme="minorEastAsia"/>
          <w:lang w:eastAsia="es-ES"/>
        </w:rPr>
        <w:t>i</w:t>
      </w:r>
      <w:r w:rsidRPr="004B4DB3">
        <w:rPr>
          <w:rFonts w:eastAsiaTheme="minorEastAsia"/>
          <w:lang w:eastAsia="es-ES"/>
        </w:rPr>
        <w:t>nviables (bajo impacto, alta complejidad): deben descartarse o postergarse.</w:t>
      </w:r>
    </w:p>
    <w:p w14:paraId="54ADD630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4B4DB3">
        <w:rPr>
          <w:rFonts w:eastAsiaTheme="minorEastAsia"/>
          <w:lang w:eastAsia="es-ES"/>
        </w:rPr>
        <w:t>Esta matriz permite a los líderes empresariales tomar decisiones basadas en evidencia y asignar recursos de manera eficiente.</w:t>
      </w:r>
    </w:p>
    <w:p w14:paraId="2BFEC2E9" w14:textId="77777777" w:rsidR="00F8161B" w:rsidRDefault="00F8161B" w:rsidP="00F8161B">
      <w:pPr>
        <w:jc w:val="both"/>
        <w:rPr>
          <w:rFonts w:eastAsiaTheme="minorEastAsia"/>
          <w:lang w:eastAsia="es-ES"/>
        </w:rPr>
      </w:pPr>
    </w:p>
    <w:p w14:paraId="67882575" w14:textId="77777777" w:rsidR="00F8161B" w:rsidRPr="00C61417" w:rsidRDefault="00F8161B" w:rsidP="00F8161B">
      <w:pPr>
        <w:jc w:val="both"/>
        <w:rPr>
          <w:rFonts w:eastAsiaTheme="minorEastAsia"/>
          <w:b/>
          <w:bCs/>
          <w:lang w:eastAsia="es-ES"/>
        </w:rPr>
      </w:pPr>
      <w:r w:rsidRPr="00C61417">
        <w:rPr>
          <w:rFonts w:eastAsiaTheme="minorEastAsia"/>
          <w:b/>
          <w:bCs/>
          <w:lang w:eastAsia="es-ES"/>
        </w:rPr>
        <w:t>Una brújula estratégica para orientar la adopción de la tecnología blockchain</w:t>
      </w:r>
    </w:p>
    <w:p w14:paraId="6D11D7E9" w14:textId="77777777" w:rsidR="00F8161B" w:rsidRDefault="00F8161B" w:rsidP="00F8161B">
      <w:pPr>
        <w:jc w:val="both"/>
        <w:rPr>
          <w:rFonts w:eastAsiaTheme="minorEastAsia"/>
          <w:lang w:eastAsia="es-ES"/>
        </w:rPr>
      </w:pPr>
      <w:r w:rsidRPr="00C61417">
        <w:rPr>
          <w:rFonts w:eastAsiaTheme="minorEastAsia"/>
          <w:lang w:eastAsia="es-ES"/>
        </w:rPr>
        <w:t xml:space="preserve">La </w:t>
      </w:r>
      <w:r>
        <w:rPr>
          <w:rFonts w:eastAsiaTheme="minorEastAsia"/>
          <w:lang w:eastAsia="es-ES"/>
        </w:rPr>
        <w:t>p</w:t>
      </w:r>
      <w:r w:rsidRPr="00C61417">
        <w:rPr>
          <w:rFonts w:eastAsiaTheme="minorEastAsia"/>
          <w:lang w:eastAsia="es-ES"/>
        </w:rPr>
        <w:t xml:space="preserve">lantilla 2 permite pasar del entusiasmo por la tecnología a una gestión racional del portafolio de iniciativas blockchain, enfocando los esfuerzos en aquellos casos que realmente pueden generar impacto tangible y </w:t>
      </w:r>
      <w:r>
        <w:rPr>
          <w:rFonts w:eastAsiaTheme="minorEastAsia"/>
          <w:lang w:eastAsia="es-ES"/>
        </w:rPr>
        <w:t>en consonancia</w:t>
      </w:r>
      <w:r w:rsidRPr="00C61417">
        <w:rPr>
          <w:rFonts w:eastAsiaTheme="minorEastAsia"/>
          <w:lang w:eastAsia="es-ES"/>
        </w:rPr>
        <w:t xml:space="preserve"> con la estrategia de la empresa. No todos los procesos se benefician de </w:t>
      </w:r>
      <w:r>
        <w:rPr>
          <w:rFonts w:eastAsiaTheme="minorEastAsia"/>
          <w:lang w:eastAsia="es-ES"/>
        </w:rPr>
        <w:t xml:space="preserve">la tecnología </w:t>
      </w:r>
      <w:r w:rsidRPr="00C61417">
        <w:rPr>
          <w:rFonts w:eastAsiaTheme="minorEastAsia"/>
          <w:lang w:eastAsia="es-ES"/>
        </w:rPr>
        <w:t>blockchain, pero los que sí lo hacen, pueden transformar radicalmente la propuesta de valor si se detectan y ejecutan correctamente.</w:t>
      </w:r>
    </w:p>
    <w:p w14:paraId="5086B8DE" w14:textId="77777777" w:rsidR="00455277" w:rsidRDefault="00455277"/>
    <w:sectPr w:rsidR="00455277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F6590" w14:textId="77777777" w:rsidR="00E33391" w:rsidRDefault="00E33391" w:rsidP="00F8161B">
      <w:r>
        <w:separator/>
      </w:r>
    </w:p>
  </w:endnote>
  <w:endnote w:type="continuationSeparator" w:id="0">
    <w:p w14:paraId="550C8009" w14:textId="77777777" w:rsidR="00E33391" w:rsidRDefault="00E33391" w:rsidP="00F8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22455" w14:textId="77777777" w:rsidR="00E33391" w:rsidRDefault="00E33391" w:rsidP="00F8161B">
      <w:r>
        <w:separator/>
      </w:r>
    </w:p>
  </w:footnote>
  <w:footnote w:type="continuationSeparator" w:id="0">
    <w:p w14:paraId="6899067F" w14:textId="77777777" w:rsidR="00E33391" w:rsidRDefault="00E33391" w:rsidP="00F81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A4FE" w14:textId="05063BFA" w:rsidR="00F8161B" w:rsidRDefault="00F8161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379FF7" wp14:editId="014AD54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28199219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327C22" w14:textId="34D0F760" w:rsidR="00F8161B" w:rsidRPr="00F8161B" w:rsidRDefault="00F8161B" w:rsidP="00F8161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F8161B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379F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1D327C22" w14:textId="34D0F760" w:rsidR="00F8161B" w:rsidRPr="00F8161B" w:rsidRDefault="00F8161B" w:rsidP="00F8161B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F8161B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70A96" w14:textId="2D2C495B" w:rsidR="00F8161B" w:rsidRDefault="00F8161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06F2EA" wp14:editId="6F29B29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256163999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BF4C8B" w14:textId="50E82F23" w:rsidR="00F8161B" w:rsidRPr="00F8161B" w:rsidRDefault="00F8161B" w:rsidP="00F8161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F8161B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F2E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" filled="f" stroked="f">
              <v:fill o:detectmouseclick="t"/>
              <v:textbox style="mso-fit-shape-to-text:t" inset="0,15pt,20pt,0">
                <w:txbxContent>
                  <w:p w14:paraId="07BF4C8B" w14:textId="50E82F23" w:rsidR="00F8161B" w:rsidRPr="00F8161B" w:rsidRDefault="00F8161B" w:rsidP="00F8161B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F8161B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A6AE2"/>
    <w:multiLevelType w:val="hybridMultilevel"/>
    <w:tmpl w:val="44AABB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57377"/>
    <w:multiLevelType w:val="hybridMultilevel"/>
    <w:tmpl w:val="6FB26AA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A46A9"/>
    <w:multiLevelType w:val="hybridMultilevel"/>
    <w:tmpl w:val="0172EC7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341824">
    <w:abstractNumId w:val="2"/>
  </w:num>
  <w:num w:numId="2" w16cid:durableId="579290917">
    <w:abstractNumId w:val="0"/>
  </w:num>
  <w:num w:numId="3" w16cid:durableId="1605989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1B"/>
    <w:rsid w:val="00407413"/>
    <w:rsid w:val="00455277"/>
    <w:rsid w:val="008B0571"/>
    <w:rsid w:val="00C246FB"/>
    <w:rsid w:val="00DE613C"/>
    <w:rsid w:val="00E1105E"/>
    <w:rsid w:val="00E33391"/>
    <w:rsid w:val="00E45FAE"/>
    <w:rsid w:val="00F8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0DE7E1"/>
  <w15:chartTrackingRefBased/>
  <w15:docId w15:val="{930BF8B4-F920-2341-A8C5-0C6264F1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61B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816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816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816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16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16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16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16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16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16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8161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8161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8161B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161B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161B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161B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161B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161B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161B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F816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8161B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F816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8161B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F816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8161B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F8161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8161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816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8161B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F8161B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F81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8161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61B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110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05E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5106</Characters>
  <Application>Microsoft Office Word</Application>
  <DocSecurity>0</DocSecurity>
  <Lines>42</Lines>
  <Paragraphs>12</Paragraphs>
  <ScaleCrop>false</ScaleCrop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2025-08-28T11:38:00Z</dcterms:created>
  <dcterms:modified xsi:type="dcterms:W3CDTF">2025-08-28T11:41:00Z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4adf8a9f,610c5933,5256ea66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2025-08-28T11:38:49Z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05db0f77-960b-4874-9798-88d341977735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